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-&gt;الإمساك بالقلم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-&gt;الإمساك بالقلم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-&gt;حمل الحقيبة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-&gt;الجلوس الصحيح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-&gt;الجلوس الصحيح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شخصيتي-&gt;من أنا؟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شخصيتي-&gt;من أنا؟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أتصرف؟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أتصرف؟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أعتذر؟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-&gt;الجلوس الصحيحشر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وقتي-&gt;أيام الأسبوع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وقتي-&gt;أيام الأسبوع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45275387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75387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0518092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0925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2704193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-&gt;الإمساك بالقلم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-&gt;الإمساك بالقلم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-&gt;حمل الحقيبة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-&gt;الجلوس الصحيح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-&gt;الجلوس الصحيح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شخصيتي-&gt;من أنا؟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شخصيتي-&gt;من أنا؟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شخصيتي-&gt;كيف أتصرف؟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أتصرف؟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أعتذر؟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 -&gt;الجلوس الصحيحشر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وقتي-&gt;أيام الأسبوع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وقتي-&gt;أيام الأسبوع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42221288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A51F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726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