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ind w:right="142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982980</wp:posOffset>
                </wp:positionH>
                <wp:positionV relativeFrom="paragraph">
                  <wp:posOffset>-167004</wp:posOffset>
                </wp:positionV>
                <wp:extent cx="7810500" cy="3733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610" w:rsidDel="00000000" w:rsidP="00A36610" w:rsidRDefault="00F46D2B" w:rsidRPr="00894C4D" w14:paraId="43211E23" w14:textId="34F95F4B">
                            <w:pPr>
                              <w:jc w:val="center"/>
                              <w:rPr>
                                <w:color w:val="a6a6a6" w:themeColor="background1" w:themeShade="0000A6"/>
                                <w:sz w:val="22"/>
                                <w:szCs w:val="22"/>
                              </w:rPr>
                            </w:pP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009999"/>
                                <w:sz w:val="32"/>
                                <w:szCs w:val="32"/>
                                <w:rtl w:val="1"/>
                              </w:rPr>
                              <w:t>توزيع مقرر</w:t>
                            </w:r>
                            <w:r w:rsidDel="00000000" w:rsidR="00000000" w:rsidRPr="00685F36">
                              <w:rPr>
                                <w:rFonts w:hint="cs"/>
                                <w:b w:val="1"/>
                                <w:bCs w:val="1"/>
                                <w:color w:val="ff0000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>فيزياء3-</w:t>
                            </w:r>
                            <w:r w:rsidDel="00000000" w:rsidR="007C2087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>1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5F36">
                              <w:rPr>
                                <w:rFonts w:hint="cs"/>
                                <w:b w:val="1"/>
                                <w:bCs w:val="1"/>
                                <w:color w:val="00b0f0"/>
                                <w:sz w:val="32"/>
                                <w:szCs w:val="32"/>
                                <w:rtl w:val="1"/>
                              </w:rPr>
                              <w:t xml:space="preserve">  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009999"/>
                                <w:sz w:val="32"/>
                                <w:szCs w:val="32"/>
                                <w:rtl w:val="1"/>
                              </w:rPr>
                              <w:t xml:space="preserve">للصف 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 xml:space="preserve">الثالث الثانوي </w:t>
                            </w:r>
                            <w:r w:rsidDel="00000000" w:rsidR="00000000" w:rsidRPr="00894C4D">
                              <w:rPr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>–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 xml:space="preserve"> نظام المسارات    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009999"/>
                                <w:sz w:val="32"/>
                                <w:szCs w:val="32"/>
                                <w:rtl w:val="1"/>
                              </w:rPr>
                              <w:t>المسار</w:t>
                            </w:r>
                            <w:r w:rsidDel="00000000" w:rsidR="00000000" w:rsidRPr="00685F36">
                              <w:rPr>
                                <w:rFonts w:hint="cs"/>
                                <w:b w:val="1"/>
                                <w:bCs w:val="1"/>
                                <w:color w:val="ff0000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 xml:space="preserve">العام  </w:t>
                            </w:r>
                            <w:r w:rsidDel="00000000" w:rsidR="00000000" w:rsidRPr="00685F36">
                              <w:rPr>
                                <w:rFonts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685F36"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–</w:t>
                            </w:r>
                            <w:r w:rsidDel="00000000" w:rsidR="00000000" w:rsidRPr="00685F36">
                              <w:rPr>
                                <w:rFonts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 xml:space="preserve"> 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009999"/>
                                <w:sz w:val="32"/>
                                <w:szCs w:val="32"/>
                                <w:rtl w:val="1"/>
                              </w:rPr>
                              <w:t xml:space="preserve">للعام الدراسي 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>144</w:t>
                            </w:r>
                            <w:r w:rsidDel="00000000" w:rsidR="007C2087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>6</w:t>
                            </w: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a6a6a6" w:themeColor="background1" w:themeShade="0000A6"/>
                                <w:sz w:val="32"/>
                                <w:szCs w:val="32"/>
                                <w:rtl w:val="1"/>
                              </w:rPr>
                              <w:t>هــ</w:t>
                            </w: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982980</wp:posOffset>
                </wp:positionH>
                <wp:positionV relativeFrom="paragraph">
                  <wp:posOffset>-167004</wp:posOffset>
                </wp:positionV>
                <wp:extent cx="7810500" cy="373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373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page" w:horzAnchor="margin" w:tblpX="0" w:tblpY="1961"/>
        <w:bidiVisual w:val="1"/>
        <w:tblW w:w="15576.0" w:type="dxa"/>
        <w:jc w:val="left"/>
        <w:tblInd w:w="-1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239"/>
        <w:gridCol w:w="2976"/>
        <w:gridCol w:w="3828"/>
        <w:gridCol w:w="2835"/>
        <w:gridCol w:w="2698"/>
        <w:tblGridChange w:id="0">
          <w:tblGrid>
            <w:gridCol w:w="3239"/>
            <w:gridCol w:w="2976"/>
            <w:gridCol w:w="3828"/>
            <w:gridCol w:w="2835"/>
            <w:gridCol w:w="269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الأول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الثاني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الثالث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الرابع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1"/>
              </w:rPr>
              <w:t xml:space="preserve">الخامس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14/2 – 18/2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21/2 -25/2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28/2 – 2/3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5/3 – 9/3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12/3 – 16/3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التشخيصي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القوى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السوائل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مبدأ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برنولي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البندول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البسيط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تراكب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الموجات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الموائع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التماسك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والتلاصق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المواد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الصلبة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تابع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البندول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البسيط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الفيزياء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الضغط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التبخر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والتكثف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التمدد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الحراري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للمواد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الصلبة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الموجات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خصائص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الصوت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والكشف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عنه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قوانين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الغازات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الموائع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الساكنة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الفيزياء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قياس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الموجة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تأثير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دوبلر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التمدد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الحراري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الضغط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تحت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1"/>
              </w:rPr>
              <w:t xml:space="preserve">الدورية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سلوك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الموجات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الرنين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الاعمدة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الهوائية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السادس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السابع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الثامن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التاسع</w:t>
            </w:r>
          </w:p>
        </w:tc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العاشر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19/3 – 23/3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26/3 – 30/3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3/4 – 7/4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10/4 – 14/4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17/4 – 21/4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إجازة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الوطني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الرابع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أساسيات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الضوء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استقطاب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الضوء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تابع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المرايا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الكروية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قانون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سنل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shd w:fill="a8d08d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إجازة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اليوم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الوطني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إضاءة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السطوح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سرعة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الضوء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سرعة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الموجات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الضوئية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الصور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الخيالية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المرايا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المقعرة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والمحدبة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النموذج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الموجي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الانكسار</w:t>
            </w:r>
          </w:p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الرنين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الاوتار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مراجعة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الفيزياء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الفيزياء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السراب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تفريق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الضوء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الفيزياء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الطبيعة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الموجية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للضوء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الانعكاس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المرايا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المستوية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السادس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الانكسار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والعدسات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العدسات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اختبار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الالوان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الاجسام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والصور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المرايا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الكروية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إجازة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مطولة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تطبيقات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العدسات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009999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عشر</w:t>
            </w:r>
          </w:p>
        </w:tc>
        <w:tc>
          <w:tcPr>
            <w:gridSpan w:val="4"/>
            <w:shd w:fill="009999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1"/>
              </w:rPr>
              <w:t xml:space="preserve">عشر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24/4 – 28/4</w:t>
            </w:r>
          </w:p>
        </w:tc>
        <w:tc>
          <w:tcPr>
            <w:gridSpan w:val="4"/>
            <w:shd w:fill="d0cece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1/5 – 5/5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مختبر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الفيزياء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bidi w:val="1"/>
              <w:jc w:val="center"/>
              <w:rPr>
                <w:b w:val="1"/>
                <w:color w:val="2f549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2f5496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اختبارات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40"/>
                <w:szCs w:val="40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مراجعة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النهائي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النهائي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النهائي</w:t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bidi w:val="1"/>
        <w:ind w:right="14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ind w:right="14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ind w:right="14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281304</wp:posOffset>
                </wp:positionH>
                <wp:positionV relativeFrom="paragraph">
                  <wp:posOffset>-633</wp:posOffset>
                </wp:positionV>
                <wp:extent cx="9496425" cy="533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D33" w:rsidDel="00000000" w:rsidP="00FD1D33" w:rsidRDefault="00F46D2B" w:rsidRPr="00894C4D" w14:paraId="2BE6CE30" w14:textId="135F7829">
                            <w:pPr>
                              <w:spacing w:line="240" w:lineRule="exact"/>
                              <w:ind w:right="142"/>
                              <w:rPr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</w:rPr>
                              <w:t xml:space="preserve">            </w:t>
                            </w:r>
                            <w:r w:rsidDel="00000000" w:rsidR="00A23D2A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  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معلم المادة: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       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    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مدير المدرسة:</w:t>
                            </w:r>
                          </w:p>
                          <w:p w:rsidR="00FD1D33" w:rsidDel="00000000" w:rsidP="00FD1D33" w:rsidRDefault="00F46D2B" w:rsidRPr="00894C4D" w14:paraId="5080D9EF" w14:textId="6744D577">
                            <w:pPr>
                              <w:spacing w:line="320" w:lineRule="exact"/>
                              <w:ind w:right="142"/>
                              <w:rPr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894C4D">
                              <w:rPr>
                                <w:rFonts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</w:rPr>
                              <w:t xml:space="preserve">               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التوقيع: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                      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  </w:t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ab/>
                            </w:r>
                            <w:r w:rsidDel="00000000" w:rsidR="00000000" w:rsidRPr="00894C4D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9999"/>
                                <w:sz w:val="26"/>
                                <w:szCs w:val="26"/>
                                <w:rtl w:val="1"/>
                                <w:lang w:eastAsia="en-US"/>
                              </w:rPr>
                              <w:t xml:space="preserve">                   التوقيع:</w:t>
                            </w:r>
                          </w:p>
                          <w:p w:rsidR="00FD1D33" w:rsidDel="00000000" w:rsidP="00FD1D33" w:rsidRDefault="00985CFF" w:rsidRPr="00000000" w14:paraId="7A357F2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281304</wp:posOffset>
                </wp:positionH>
                <wp:positionV relativeFrom="paragraph">
                  <wp:posOffset>-633</wp:posOffset>
                </wp:positionV>
                <wp:extent cx="9496425" cy="533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64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720" w:top="851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